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5D5" w:rsidRDefault="007045D5" w:rsidP="007045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У </w:t>
      </w:r>
      <w:proofErr w:type="spellStart"/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</w:t>
      </w:r>
      <w:proofErr w:type="spellEnd"/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 к   м у </w:t>
      </w:r>
      <w:proofErr w:type="spellStart"/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</w:t>
      </w:r>
      <w:proofErr w:type="spellEnd"/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ы</w:t>
      </w:r>
      <w:proofErr w:type="spellEnd"/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к и</w:t>
      </w:r>
    </w:p>
    <w:p w:rsidR="0057475C" w:rsidRPr="0057475C" w:rsidRDefault="0057475C" w:rsidP="007045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  <w:r w:rsidRPr="0057475C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1. Прочитать.</w:t>
      </w:r>
    </w:p>
    <w:p w:rsidR="0057475C" w:rsidRPr="0057475C" w:rsidRDefault="0057475C" w:rsidP="007045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  <w:r w:rsidRPr="0057475C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2. Прослушать музыку.</w:t>
      </w:r>
    </w:p>
    <w:p w:rsidR="0057475C" w:rsidRPr="0057475C" w:rsidRDefault="0057475C" w:rsidP="007045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  <w:r w:rsidRPr="0057475C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3. Д/З Иллюстрация к 1 сюите</w:t>
      </w: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 "Гном"</w:t>
      </w:r>
      <w:r w:rsidRPr="0057475C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.</w:t>
      </w:r>
    </w:p>
    <w:p w:rsidR="007045D5" w:rsidRPr="007045D5" w:rsidRDefault="007045D5" w:rsidP="007045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7045D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Александр МАЙКАПАР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М. Мусоргский. «Картинки с выставки»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Жанр:</w:t>
      </w:r>
      <w:r w:rsidRPr="007045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сюита для фортепиано.</w:t>
      </w:r>
      <w:r w:rsidRPr="007045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Год создания:</w:t>
      </w:r>
      <w:r w:rsidRPr="007045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июнь 1874 г .</w:t>
      </w:r>
      <w:r w:rsidRPr="007045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Первое издание: </w:t>
      </w:r>
      <w:r w:rsidRPr="007045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1886 г ., в редакции Н.А. Римского-Корсакова.</w:t>
      </w:r>
      <w:r w:rsidRPr="007045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045D5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Посвящено:</w:t>
      </w:r>
      <w:r w:rsidRPr="007045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В.В. Стасову.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853055" cy="4291330"/>
            <wp:effectExtent l="19050" t="0" r="4445" b="0"/>
            <wp:docPr id="1" name="Рисунок 1" descr="http://art.1september.ru/2006/24/no24__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t.1september.ru/2006/24/no24__6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429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  <w:t>Модест Мусоргский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Из истории создания и публикации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Поводом для создания «Картинок с выставки» послужила выставка картин и рисунков известного русского художника и архитектора В.А. Гартмана, которая была организована в Академии художеств по инициативе В.В. Стасова в связи со скоропостижной кончиной художника. Стасов откликнулся на смерть В. Гартмана статьей «Нынешнее искусство в Европе. Художественные заметки о всемирной выставке 1873 г . в Вене». В ней 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содержится, пожалуй, наиболее глубокая характеристика творчества этого мастера: «Не в одной России понимали самобытный талант Гартмана и сочувствовали новизне и свежести идей этого молодого художника: в Вене он также нашел достойных ценителей. Когда пришли туда рисунки Гартмана и их распаковали перед комиссией архитекторов, то эти последние с первого взгляда пришли в настоящий восторг и от мастерства рисовальщика (Гартман был одним из превосходнейших акварелистов, каких мне только случалось встречать), и от новизны и богатства фантазии его»</w:t>
      </w:r>
      <w:bookmarkStart w:id="0" w:name="_ftnref1"/>
      <w:bookmarkEnd w:id="0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 тех работ художника, по которым написаны «Картинки» Мусоргского, известны всего шесть.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853055" cy="3999230"/>
            <wp:effectExtent l="19050" t="0" r="4445" b="0"/>
            <wp:docPr id="2" name="Рисунок 2" descr="http://art.1september.ru/2006/24/no24__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rt.1september.ru/2006/24/no24__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399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Виктор Гартман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Виктор Александрович Гартман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(1834–1873) был выдающимся русским архитектором и художником. Он окончил курс в Академии художеств, после изучения строительного дела провел несколько лет за границей, повсюду делал зарисовки памятников архитектуры, фиксировал карандашом и акварелью народные типы и сцены уличной жизни. Приглашенный затем к участию в устройстве всероссийской мануфактурной выставки 1870 г . в Петербурге, сделал около 600 рисунков, по которым были сооружены разные павильоны выставки. Эти рисунки демонстрируют неистощимую фантазию, тонкий вкус, большую оригинальность художника. Именно за эту работу он в 1872 г . был удостоен звания академика. Он создал несколько архитектурных проектов (например, Народного театра в Петербурге), сделал 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рисунки декораций и костюмов для оперы М. Глинки «Руслан и Людмила», участвовал в устройстве Московской политехнической выставки в 1872 г . По его проектам построены дом для типографии Мамонтова, загородная дача для Мамонтова и несколько частных домов.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Мусоргский, хорошо знавший художника, был потрясен его кончиной. Он писал В. Стасову: «Нас,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дураков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обыкновенно утешают в таких случаях мудрые: «его» не существует, но то, что он успел сделать, существует и будет существовать; а, мол, многие ли люди имеют такую счастливую долю — не быть забытыми. Опять биток (с хреном для слезы) из человеческого самолюбьица. Да черт с твоею мудростью! Если «он» не попусту жил, а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создавал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так каким же негодяем надо быть, чтобы с наслаждением «утешения» примиряться с тем, что «он»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перестал создавать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Нет и не может быть покоя, нет и не должно быть утешений — это дрябло».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Несколько лет спустя, в 1887 г ., когда была предпринята попытка второго издания «Картинок с выставки» (первое, под редакцией Н.А. Римского-Корсакова, упрекали в отходе от авторского замысла; некоторые из этих отступлений мы отметим в наших комментариях), В. Стасов в предисловии писал: «Бойкие, изящные наброски живописца-жанриста, множество сцен, типов, фигур из вседневной жизни, схваченных из сферы того, что неслось и кружилось вокруг него — на улицах и в церквах, в парижских катакомбах и польских монастырях, в римских переулках и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лиможских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деревнях, типы карнавальные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a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la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Gavarni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, рабочие в блузе и патеры верхом на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осле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 зонтиком под мышкой, французские молящиеся старухи, улыбающиеся из-под ермолки евреи, парижские тряпичники, милые ослики, трущиеся о дерево, пейзажи с живописной руиной, чудесные дали с панорамой города…»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Над «Картинками» Мусоргский работал с необычайным воодушевлением. В одном из писем к Стасову он писал: «Гартман кипит, как кипел «Борис», — звуки и мысль в воздухе повисли, глотаю и объедаюсь, едва успеваю царапать на бумаге… Хочу скорее и надежнее сделать. Моя физиономия в интермедиях видна… Как хорошо работается». Пока Мусоргский работал над этим циклом, произведение упоминалось как «Гартман»; название «Картинки с выставки» появилось позднее.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Многие современники находили авторскую — фортепианную — версию «Картинок» произведением не фортепианным, неудобным для исполнения. Доля истины в этом есть. В «Энциклопедическом словаре» Брокгауза и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Ефрона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читаем: «Укажем еще на ряд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музыкальных эскизов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под заглавием «Картинки с выставки», написанных для фортепиано в 1874 году, в виде музыкальных иллюстраций к акварелям В.А. Гартмана». Не случайно 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существует много оркестровок этого сочинения. Оркестровка М. Равеля, сделанная в 1922 г ., самая известная, к тому же именно в этой оркестровке «Картинки с выставки» получили признание на Западе. Более того, даже среди пианистов нет единства мнений: одни исполняют произведение в авторской версии, другие, в частности В.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Горовиц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делают его транскрипцию. В нашей коллекции «Картинки с выставки» представлены в двух версиях — оригинальной фортепианной (С. Рихтер) и в оркестровке М. Равеля, что дает возможность их сравнить.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Сюжеты и музыка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«Картинки с выставки» являют собой сюиту из десяти пьес — каждая навеяна одним из сюжетов Гартмана. Мусоргский изобрел совершенно замечательный способ объединить эти свои музыкальные картинки в единое художественное целое: для этой цели он использовал музыкальный материал вступления, и, поскольку по выставке обычно гуляют, он назвал это вступление «Прогулка».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Итак, нас приглашают на выставку…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Прогулка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 вступление не составляет основной — содержательной — части выставки, но является существенным элементом всей музыкальной композиции. В первый раз музыкальный материал этого вступления излагается полностью; в дальнейшем мотив «Прогулки» в разных вариантах: то спокойном, то более взволнованном — используется в качестве интерлюдий между пьесами, что замечательно выражает психологическое состояние зрителя на выставке, когда он переходит от одной картины к другой. При этом Мусоргский создает ощущение единства всего произведения при максимальном контрасте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музыкального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и мы ясно ощущаем, что и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зрительного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тоже (картины Гартмана) — содержания пьес. По поводу своей находки (как соединить пьесы) Мусоргский высказался (в цитированном выше письме к Стасову): «Связки хороши (на “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promenade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”) ... Моя физиономия в интермедиях видна».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Сразу обращает на себя внимание колорит «Прогулки» — ее отчетливо ощутимый русский характер. Композитор своей ремаркой дает указание: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nel</w:t>
      </w:r>
      <w:proofErr w:type="spellEnd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modo</w:t>
      </w:r>
      <w:proofErr w:type="spellEnd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russico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итал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— в русском стиле). Но одной этой ремарки было бы недостаточно, чтобы создать такое ощущение. Мусоргский достигает этого несколькими средствами.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Во-первых, с помощью музыкального лада. «Прогулка», по крайней мере поначалу, написана в так называемом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пентатоническом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ладу («пента» — 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пять), то есть с использованием только пяти звуков — исключены звуки, образующие с соседними полутон. Оставшиеся и используемые в теме отстоят друг от друга на целый тон. Исключенные в данном случае звуки —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ля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ми-бемоль. 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Дальше, когда характер намечен, композитор использует весь звукоряд. Пентатоника уже сама по себе придает музыке отчетливо выраженный народный характер.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Во-вторых, ритмическая структура: поначалу борются (или чередуются?) нечетный размер ( 5/ 4) и четный ( 6/ 4, вторая половина пьесы уже вся в четном, размере). Кажущаяся неопределенность ритмической структуры, вернее отсутствие в ней квадратности, — также одна из особенностей склада русской народной музыки. Мы здесь не касаемся очень большой и важной проблемы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интерпретации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музыки,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прочтения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донесения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авторской записи и авторского замысла. Ибо, как сказал поэт Витольд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Деглер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Порой и мысль, достойная овации,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Погибнуть может от интерпретации…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Мусоргский снабдил свое произведение довольно подробными ремарками, касающимися характера исполнения (темп, настроение и пр.). Для этого он использовал, как принято в музыке, итальянский язык.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Ремарка для первого проведения «Прогулки» такова: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Allegro giusto , nel modo russico , senza allergezza , ma poco sostenuto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. В изданиях, дающих переводы подобных итальянских ремарок, можно увидеть такой перевод: «Скоро, в русском стиле, без торопливости, несколько сдержанно». В таком наборе слов мало смысла. Как же играть: «скоро» «без торопливости» или «несколько сдержанно»?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Дело в том, что, во-первых, в таком переводе без внимания осталось важное слово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giusto</w:t>
      </w:r>
      <w:proofErr w:type="spellEnd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 , 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которое буквально означает «правильно», «соразмерно» «точно»; применительно к интерпретации — «темп, соответствующий характеру пьесы». Характер же этой пьесы определяет первое слово ремарки —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allegro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, и понимать его в данном случае нужно в смысле «бодро» (а не «быстро»). Тогда все становится на свои места и вся ремарка переводится так: «играть бодро, в соответствующем этому темпе, в русском духе, без торопливости, несколько сдержанно». Вероятно, каждый согласится с тем, что именно такое душевное состояние обычно владеет нами, когда мы только входим на выставку. Другое дело наши ощущения от новых впечатлений от увиденного…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2853055" cy="3596640"/>
            <wp:effectExtent l="19050" t="0" r="4445" b="0"/>
            <wp:docPr id="3" name="Рисунок 3" descr="http://art.1september.ru/2006/24/no24__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rt.1september.ru/2006/24/no24__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359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proofErr w:type="spellStart"/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Вдадимир</w:t>
      </w:r>
      <w:proofErr w:type="spellEnd"/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Стасов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одних случаях мотив «Прогулки» оказывается связующим для соседних пьес. Так происходит при переходе от № 1 – «Гном» к № 2 – «Старый замок» или от № 2 к № 3 – «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Тюильрийский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сад». По ходу произведения эти переходы безошибочно узнаются. В других случаях, наоборот, мотив становится резко разделяющим — тогда «Прогулка» обозначается как более или менее самостоятельный раздел, например, между № 6 – «Два еврея, богатый и бедный» и № 7 – «Лимож. Рынок».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Всякий раз в зависимости от контекста, в котором предстает мотив «Прогулки», Мусоргский находит для него особые выразительные средства: мотив то близок к своему первоначальному варианту, как это мы слышим после № 1 (мы еще недалеко ушли в своей прогулке по выставке), то звучит не так умеренно и даже грузно (после «Старого замка»; ремарка в нотах: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pesante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—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итал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 </w:t>
      </w:r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тяжело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Мусоргский так выстраивает весь цикл, что совершенно избегает какой бы то ни было симметричности и предсказуемости. Это характеризует и трактовку музыкального материала «Прогулки»: слушатель (он же зритель) то остается под впечатлением от услышанного (увиденного), то, наоборот, как бы стряхивает с себя мысли и ощущения от увиденной картины. И нигде настроение не повторяется в точности. И все это при единстве тематического материала «Прогулки»! Мусоргский в этом цикле (как, впрочем, и в других своих произведениях, например в вокальных циклах «Детская», «Без солнца», «Песни и пляски смерти», не говоря уж об операх) предстает на редкость тонким психологом.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1. «Гном»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Рисунок Гартмана изображал елочную игрушку: щипцы для колки орехов в виде маленького гнома. У Мусоргского эта пьеса производит впечатление чего-то более зловещего, чем просто елочная игрушка: аналогия с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нибелунгами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(порода карликов, живущих глубоко в горных пещерах — персонажи «Кольца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нибелунга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» Р. Вагнера) не кажется такой уж нелепой</w:t>
      </w:r>
      <w:bookmarkStart w:id="1" w:name="_ftnref2"/>
      <w:bookmarkEnd w:id="1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Во всяком случае, гном Мусоргского ожесточеннее гномов Листа</w:t>
      </w:r>
      <w:bookmarkStart w:id="2" w:name="_ftnref3"/>
      <w:bookmarkEnd w:id="2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или Грига</w:t>
      </w:r>
      <w:bookmarkStart w:id="3" w:name="_ftnref4"/>
      <w:bookmarkEnd w:id="3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В музыке — резкие контрасты: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fortissimo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сменяется </w:t>
      </w:r>
      <w:proofErr w:type="spellStart"/>
      <w:r w:rsidRPr="007045D5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piano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, оживленные (в исполнении С. Рихтера — стремительные) фразы чередуются с остановками движения, мелодии в унисон противопоставляются эпизодам, изложенным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аккордово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Если не знать авторского названия этой пьесы, то в оркестровке М. Равеля — чрезвычайно изобретательной — она предстает скорее портретом сказочного великана и уж во всяком случае никак не музыкальным воплощением образа елочной игрушки (как это у Гартмана).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584960" cy="1889760"/>
            <wp:effectExtent l="19050" t="0" r="0" b="0"/>
            <wp:docPr id="4" name="Рисунок 4" descr="http://art.1september.ru/2006/24/no24__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rt.1september.ru/2006/24/no24__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В. Гартман. Эскиз костюмов для балета Г. Гербера "</w:t>
      </w:r>
      <w:proofErr w:type="spellStart"/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Трильби</w:t>
      </w:r>
      <w:proofErr w:type="spellEnd"/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". Академия наук, Санкт-Петербург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 «Старый замок»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Гартман, как известно, путешествовал по Европе, и один из его рисунков изображал старинный замок. Чтобы передать масштаб, художник изобразил на его фоне певца — трубадура с лютней. Так поясняет этот рисунок Стасов (в каталоге посмертной выставки художника такой рисунок не значится). Из картины не следует, что трубадур поет песню, полную грусти и безнадежности. Но именно такое настроение передает музыка Мусоргского.</w:t>
      </w:r>
    </w:p>
    <w:p w:rsidR="007045D5" w:rsidRPr="007045D5" w:rsidRDefault="007045D5" w:rsidP="007045D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Поразительна композиция пьесы: все ее 107 тактов построены на одном неизменном басовом звуке — соль-диез! Этот прием в музыке называется «органный пункт» и используется весьма часто; как правило, он предваряет наступление репризы, то есть того раздела произведения, в котором после определенного развития возвращается первоначальный музыкальный материал. Но трудно найти другое произведение классического музыкального репертуара, в котором всё произведение от начала и до конца </w:t>
      </w:r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было бы построено на органном пункте. И это не просто технический эксперимент Мусоргского — композитор создал подлинный шедевр. Этот прием в высшей степени уместен в пьесе с данным сюжетом, то есть для музыкального воплощения образа средневекового трубадура: инструменты, на которых аккомпанировали себе музыканты того времени, обладали басовой струной (если речь идет о струнном инструменте, например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фиделе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или трубкой (если о духовом, например волынке), которые издавали только один звук — густой глубокий бас. Его звучание в течение долгого времени создавало настроение некой </w:t>
      </w:r>
      <w:proofErr w:type="spellStart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застылости</w:t>
      </w:r>
      <w:proofErr w:type="spellEnd"/>
      <w:r w:rsidRPr="00704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Именно эту безысходность — безнадежность мольбы трубадура — нарисовал звуками Мусоргский.</w:t>
      </w:r>
    </w:p>
    <w:p w:rsidR="00541519" w:rsidRDefault="0057475C"/>
    <w:sectPr w:rsidR="00541519" w:rsidSect="007045D5">
      <w:pgSz w:w="11906" w:h="16838"/>
      <w:pgMar w:top="709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7045D5"/>
    <w:rsid w:val="00407C82"/>
    <w:rsid w:val="0057475C"/>
    <w:rsid w:val="007045D5"/>
    <w:rsid w:val="007E7FC0"/>
    <w:rsid w:val="0082486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82"/>
  </w:style>
  <w:style w:type="paragraph" w:styleId="1">
    <w:name w:val="heading 1"/>
    <w:basedOn w:val="a"/>
    <w:link w:val="10"/>
    <w:uiPriority w:val="9"/>
    <w:qFormat/>
    <w:rsid w:val="007045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045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link w:val="60"/>
    <w:uiPriority w:val="9"/>
    <w:qFormat/>
    <w:rsid w:val="007045D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45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45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045D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704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7045D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7045D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45D5"/>
    <w:rPr>
      <w:b/>
      <w:bCs/>
    </w:rPr>
  </w:style>
  <w:style w:type="character" w:styleId="a5">
    <w:name w:val="Emphasis"/>
    <w:basedOn w:val="a0"/>
    <w:uiPriority w:val="20"/>
    <w:qFormat/>
    <w:rsid w:val="007045D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04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45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1976</Words>
  <Characters>11268</Characters>
  <Application>Microsoft Office Word</Application>
  <DocSecurity>0</DocSecurity>
  <Lines>93</Lines>
  <Paragraphs>26</Paragraphs>
  <ScaleCrop>false</ScaleCrop>
  <Company/>
  <LinksUpToDate>false</LinksUpToDate>
  <CharactersWithSpaces>13218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5</cp:revision>
  <dcterms:created xsi:type="dcterms:W3CDTF">2020-04-09T17:15:00Z</dcterms:created>
  <dcterms:modified xsi:type="dcterms:W3CDTF">2020-04-09T17:32:00Z</dcterms:modified>
</cp:coreProperties>
</file>